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02CB582D" w14:textId="3E1887B1" w:rsidR="00D26899" w:rsidRDefault="00FA7871" w:rsidP="006A18C4">
      <w:pPr>
        <w:jc w:val="center"/>
        <w:rPr>
          <w:rFonts w:asciiTheme="majorHAnsi" w:hAnsiTheme="majorHAnsi" w:cstheme="majorHAnsi"/>
          <w:color w:val="2F5496" w:themeColor="accent1" w:themeShade="BF"/>
          <w:sz w:val="72"/>
          <w:szCs w:val="72"/>
        </w:rPr>
      </w:pPr>
      <w:r>
        <w:rPr>
          <w:rFonts w:asciiTheme="majorHAnsi" w:hAnsiTheme="majorHAnsi" w:cstheme="majorHAnsi"/>
          <w:color w:val="2F5496" w:themeColor="accent1" w:themeShade="BF"/>
          <w:sz w:val="72"/>
          <w:szCs w:val="72"/>
        </w:rPr>
        <w:t>Executive Summary</w:t>
      </w:r>
      <w:r w:rsidR="00D26899" w:rsidRPr="00D26899">
        <w:rPr>
          <w:rFonts w:asciiTheme="majorHAnsi" w:hAnsiTheme="majorHAnsi" w:cstheme="majorHAnsi"/>
          <w:color w:val="2F5496" w:themeColor="accent1" w:themeShade="BF"/>
          <w:sz w:val="72"/>
          <w:szCs w:val="72"/>
        </w:rPr>
        <w:t xml:space="preserve"> Emergenc</w:t>
      </w:r>
      <w:r>
        <w:rPr>
          <w:rFonts w:asciiTheme="majorHAnsi" w:hAnsiTheme="majorHAnsi" w:cstheme="majorHAnsi"/>
          <w:color w:val="2F5496" w:themeColor="accent1" w:themeShade="BF"/>
          <w:sz w:val="72"/>
          <w:szCs w:val="72"/>
        </w:rPr>
        <w:t>y Operations</w:t>
      </w:r>
      <w:r w:rsidR="00D26899" w:rsidRPr="00D26899">
        <w:rPr>
          <w:rFonts w:asciiTheme="majorHAnsi" w:hAnsiTheme="majorHAnsi" w:cstheme="majorHAnsi"/>
          <w:color w:val="2F5496" w:themeColor="accent1" w:themeShade="BF"/>
          <w:sz w:val="72"/>
          <w:szCs w:val="72"/>
        </w:rPr>
        <w:t xml:space="preserve"> Plan</w:t>
      </w:r>
    </w:p>
    <w:p w14:paraId="1A6570B6" w14:textId="7B4E381B"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Version 1.0</w:t>
      </w:r>
    </w:p>
    <w:p w14:paraId="2AEA107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04/15/2022</w:t>
      </w:r>
    </w:p>
    <w:p w14:paraId="76C43582" w14:textId="2F3D4C94" w:rsidR="0082498B" w:rsidRPr="00CE1382" w:rsidRDefault="006A18C4" w:rsidP="00FA7871">
      <w:pPr>
        <w:jc w:val="center"/>
      </w:pPr>
      <w:r>
        <w:br w:type="page"/>
      </w:r>
    </w:p>
    <w:p w14:paraId="7BE67318" w14:textId="77777777" w:rsidR="001F0C19" w:rsidRPr="00CF64E6" w:rsidRDefault="001F0C19" w:rsidP="001F0C19">
      <w:pPr>
        <w:pStyle w:val="Heading1"/>
        <w:tabs>
          <w:tab w:val="center" w:pos="1265"/>
        </w:tabs>
        <w:ind w:left="-15"/>
        <w:rPr>
          <w:b/>
          <w:bCs/>
          <w:sz w:val="26"/>
          <w:szCs w:val="26"/>
        </w:rPr>
      </w:pPr>
      <w:bookmarkStart w:id="0" w:name="_Toc100082196"/>
      <w:r>
        <w:rPr>
          <w:b/>
          <w:bCs/>
          <w:sz w:val="26"/>
          <w:szCs w:val="26"/>
        </w:rPr>
        <w:lastRenderedPageBreak/>
        <w:t>Executive Summary</w:t>
      </w:r>
      <w:bookmarkEnd w:id="0"/>
      <w:r>
        <w:rPr>
          <w:b/>
          <w:bCs/>
          <w:sz w:val="26"/>
          <w:szCs w:val="26"/>
        </w:rPr>
        <w:t>:</w:t>
      </w:r>
    </w:p>
    <w:p w14:paraId="52DA5D4C" w14:textId="06EBE0B9" w:rsidR="001F0C19" w:rsidRPr="009A02FC" w:rsidRDefault="001F0C19" w:rsidP="001F0C19">
      <w:pPr>
        <w:ind w:right="7"/>
        <w:rPr>
          <w:rFonts w:asciiTheme="majorHAnsi" w:hAnsiTheme="majorHAnsi" w:cstheme="majorHAnsi"/>
        </w:rPr>
      </w:pPr>
      <w:r w:rsidRPr="009A02FC">
        <w:rPr>
          <w:rFonts w:asciiTheme="majorHAnsi" w:hAnsiTheme="majorHAnsi" w:cstheme="majorHAnsi"/>
        </w:rPr>
        <w:t xml:space="preserve">As a registered PGC, </w:t>
      </w:r>
      <w:r>
        <w:rPr>
          <w:rFonts w:asciiTheme="majorHAnsi" w:hAnsiTheme="majorHAnsi" w:cstheme="majorHAnsi"/>
        </w:rPr>
        <w:t>Elawan Energy</w:t>
      </w:r>
      <w:r w:rsidRPr="00696878">
        <w:rPr>
          <w:rFonts w:asciiTheme="majorHAnsi" w:hAnsiTheme="majorHAnsi" w:cstheme="majorHAnsi"/>
        </w:rPr>
        <w:t xml:space="preserve"> </w:t>
      </w:r>
      <w:r w:rsidRPr="009A02FC">
        <w:rPr>
          <w:rFonts w:asciiTheme="majorHAnsi" w:hAnsiTheme="majorHAnsi" w:cstheme="majorHAnsi"/>
        </w:rPr>
        <w:t xml:space="preserve">is required to develop, maintain, and utilize (when necessary) an Emergency Operations Plan, pursuant to the requirements set forth in the PUCT Rule §25.53. </w:t>
      </w:r>
      <w:r>
        <w:rPr>
          <w:rFonts w:asciiTheme="majorHAnsi" w:hAnsiTheme="majorHAnsi" w:cstheme="majorHAnsi"/>
        </w:rPr>
        <w:t>Elawan Energy</w:t>
      </w:r>
      <w:r w:rsidRPr="009A02FC">
        <w:rPr>
          <w:rFonts w:asciiTheme="majorHAnsi" w:hAnsiTheme="majorHAnsi" w:cstheme="majorHAnsi"/>
        </w:rPr>
        <w:t xml:space="preserve"> has developed this plan to comply with the PUCT Substantive rule and applicable NERC Reliability Standards, as well as ensure a greater likelihood of continued operations during an emergency. This plan must be filed with the PUCT either (a) before COD if it is a new facility or (b) within 30 days of a substantive change to the plan. Any substantive change to the plan, made between November 1</w:t>
      </w:r>
      <w:r w:rsidRPr="009A02FC">
        <w:rPr>
          <w:rFonts w:asciiTheme="majorHAnsi" w:hAnsiTheme="majorHAnsi" w:cstheme="majorHAnsi"/>
          <w:vertAlign w:val="superscript"/>
        </w:rPr>
        <w:t>st</w:t>
      </w:r>
      <w:r w:rsidRPr="009A02FC">
        <w:rPr>
          <w:rFonts w:asciiTheme="majorHAnsi" w:hAnsiTheme="majorHAnsi" w:cstheme="majorHAnsi"/>
        </w:rPr>
        <w:t xml:space="preserve"> and April 30</w:t>
      </w:r>
      <w:r w:rsidRPr="009A02FC">
        <w:rPr>
          <w:rFonts w:asciiTheme="majorHAnsi" w:hAnsiTheme="majorHAnsi" w:cstheme="majorHAnsi"/>
          <w:vertAlign w:val="superscript"/>
        </w:rPr>
        <w:t>th</w:t>
      </w:r>
      <w:r w:rsidRPr="009A02FC">
        <w:rPr>
          <w:rFonts w:asciiTheme="majorHAnsi" w:hAnsiTheme="majorHAnsi" w:cstheme="majorHAnsi"/>
        </w:rPr>
        <w:t xml:space="preserve"> must be filed no later than June 1</w:t>
      </w:r>
      <w:r w:rsidRPr="009A02FC">
        <w:rPr>
          <w:rFonts w:asciiTheme="majorHAnsi" w:hAnsiTheme="majorHAnsi" w:cstheme="majorHAnsi"/>
          <w:vertAlign w:val="superscript"/>
        </w:rPr>
        <w:t>st</w:t>
      </w:r>
      <w:r w:rsidRPr="009A02FC">
        <w:rPr>
          <w:rFonts w:asciiTheme="majorHAnsi" w:hAnsiTheme="majorHAnsi" w:cstheme="majorHAnsi"/>
        </w:rPr>
        <w:t xml:space="preserve"> of that year. If a substantive change is made to the plan between May 1</w:t>
      </w:r>
      <w:r w:rsidRPr="009A02FC">
        <w:rPr>
          <w:rFonts w:asciiTheme="majorHAnsi" w:hAnsiTheme="majorHAnsi" w:cstheme="majorHAnsi"/>
          <w:vertAlign w:val="superscript"/>
        </w:rPr>
        <w:t>st</w:t>
      </w:r>
      <w:r w:rsidRPr="009A02FC">
        <w:rPr>
          <w:rFonts w:asciiTheme="majorHAnsi" w:hAnsiTheme="majorHAnsi" w:cstheme="majorHAnsi"/>
        </w:rPr>
        <w:t xml:space="preserve"> and October 31</w:t>
      </w:r>
      <w:r w:rsidRPr="009A02FC">
        <w:rPr>
          <w:rFonts w:asciiTheme="majorHAnsi" w:hAnsiTheme="majorHAnsi" w:cstheme="majorHAnsi"/>
          <w:vertAlign w:val="superscript"/>
        </w:rPr>
        <w:t>st</w:t>
      </w:r>
      <w:r w:rsidRPr="009A02FC">
        <w:rPr>
          <w:rFonts w:asciiTheme="majorHAnsi" w:hAnsiTheme="majorHAnsi" w:cstheme="majorHAnsi"/>
        </w:rPr>
        <w:t>, the submission date is no later than December 1</w:t>
      </w:r>
      <w:r w:rsidRPr="009A02FC">
        <w:rPr>
          <w:rFonts w:asciiTheme="majorHAnsi" w:hAnsiTheme="majorHAnsi" w:cstheme="majorHAnsi"/>
          <w:vertAlign w:val="superscript"/>
        </w:rPr>
        <w:t>st</w:t>
      </w:r>
      <w:r w:rsidRPr="009A02FC">
        <w:rPr>
          <w:rFonts w:asciiTheme="majorHAnsi" w:hAnsiTheme="majorHAnsi" w:cstheme="majorHAnsi"/>
        </w:rPr>
        <w:t xml:space="preserve"> of that same year. At all times, the most recent approved copy of the </w:t>
      </w:r>
      <w:r>
        <w:rPr>
          <w:rFonts w:asciiTheme="majorHAnsi" w:hAnsiTheme="majorHAnsi" w:cstheme="majorHAnsi"/>
        </w:rPr>
        <w:t>Elawan Energy</w:t>
      </w:r>
      <w:r w:rsidRPr="00696878">
        <w:rPr>
          <w:rFonts w:asciiTheme="majorHAnsi" w:hAnsiTheme="majorHAnsi" w:cstheme="majorHAnsi"/>
        </w:rPr>
        <w:t xml:space="preserve"> </w:t>
      </w:r>
      <w:r w:rsidRPr="009A02FC">
        <w:rPr>
          <w:rFonts w:asciiTheme="majorHAnsi" w:hAnsiTheme="majorHAnsi" w:cstheme="majorHAnsi"/>
        </w:rPr>
        <w:t xml:space="preserve">Emergency Operations Plan must be available at the </w:t>
      </w:r>
      <w:r>
        <w:rPr>
          <w:rFonts w:asciiTheme="majorHAnsi" w:hAnsiTheme="majorHAnsi" w:cstheme="majorHAnsi"/>
        </w:rPr>
        <w:t>Elawan Energy</w:t>
      </w:r>
      <w:r w:rsidRPr="009A02FC">
        <w:rPr>
          <w:rFonts w:asciiTheme="majorHAnsi" w:hAnsiTheme="majorHAnsi" w:cstheme="majorHAnsi"/>
        </w:rPr>
        <w:t>’s main office for PUCT inspection.</w:t>
      </w:r>
    </w:p>
    <w:p w14:paraId="1E3A16EF" w14:textId="2A158268" w:rsidR="001F0C19" w:rsidRPr="009A02FC" w:rsidRDefault="001F0C19" w:rsidP="001F0C19">
      <w:pPr>
        <w:ind w:right="7"/>
        <w:rPr>
          <w:rFonts w:asciiTheme="majorHAnsi" w:hAnsiTheme="majorHAnsi" w:cstheme="majorHAnsi"/>
        </w:rPr>
      </w:pPr>
      <w:r w:rsidRPr="009A02FC">
        <w:rPr>
          <w:rFonts w:asciiTheme="majorHAnsi" w:hAnsiTheme="majorHAnsi" w:cstheme="majorHAnsi"/>
        </w:rPr>
        <w:t xml:space="preserve">For </w:t>
      </w:r>
      <w:r>
        <w:rPr>
          <w:rFonts w:asciiTheme="majorHAnsi" w:hAnsiTheme="majorHAnsi" w:cstheme="majorHAnsi"/>
        </w:rPr>
        <w:t>Elawan Energy</w:t>
      </w:r>
      <w:r w:rsidRPr="009A02FC">
        <w:rPr>
          <w:rFonts w:asciiTheme="majorHAnsi" w:hAnsiTheme="majorHAnsi" w:cstheme="majorHAnsi"/>
        </w:rPr>
        <w:t xml:space="preserve">, a PGC, the PUCT has ordered the following information be included and/or addressed in the Emergency Operations Plan: </w:t>
      </w:r>
    </w:p>
    <w:p w14:paraId="358E9F00" w14:textId="77777777" w:rsidR="001F0C19" w:rsidRPr="009A02FC" w:rsidRDefault="001F0C19" w:rsidP="001F0C19">
      <w:pPr>
        <w:pStyle w:val="Heading1"/>
        <w:numPr>
          <w:ilvl w:val="0"/>
          <w:numId w:val="11"/>
        </w:numPr>
        <w:rPr>
          <w:rFonts w:eastAsiaTheme="minorHAnsi" w:cstheme="majorHAnsi"/>
          <w:color w:val="auto"/>
          <w:sz w:val="22"/>
          <w:szCs w:val="22"/>
        </w:rPr>
      </w:pPr>
      <w:bookmarkStart w:id="1" w:name="_Toc100082197"/>
      <w:r w:rsidRPr="009A02FC">
        <w:rPr>
          <w:rFonts w:eastAsiaTheme="minorHAnsi" w:cstheme="majorHAnsi"/>
          <w:color w:val="auto"/>
          <w:sz w:val="22"/>
          <w:szCs w:val="22"/>
        </w:rPr>
        <w:t>Maintenance of Pre-identified Supplies for Emergency Response</w:t>
      </w:r>
      <w:bookmarkEnd w:id="1"/>
    </w:p>
    <w:p w14:paraId="3B76841D" w14:textId="77777777" w:rsidR="001F0C19" w:rsidRPr="009A02FC" w:rsidRDefault="001F0C19" w:rsidP="001F0C19">
      <w:pPr>
        <w:pStyle w:val="ListParagraph"/>
        <w:numPr>
          <w:ilvl w:val="0"/>
          <w:numId w:val="11"/>
        </w:numPr>
        <w:spacing w:after="160" w:line="259" w:lineRule="auto"/>
        <w:rPr>
          <w:rFonts w:asciiTheme="majorHAnsi" w:hAnsiTheme="majorHAnsi" w:cstheme="majorHAnsi"/>
        </w:rPr>
      </w:pPr>
      <w:r w:rsidRPr="009A02FC">
        <w:rPr>
          <w:rFonts w:asciiTheme="majorHAnsi" w:hAnsiTheme="majorHAnsi" w:cstheme="majorHAnsi"/>
        </w:rPr>
        <w:t>List of primary and, if possible, backup emergency contacts</w:t>
      </w:r>
    </w:p>
    <w:p w14:paraId="4CB72074" w14:textId="77777777" w:rsidR="001F0C19" w:rsidRPr="009A02FC" w:rsidRDefault="001F0C19" w:rsidP="001F0C19">
      <w:pPr>
        <w:pStyle w:val="ListParagraph"/>
        <w:numPr>
          <w:ilvl w:val="0"/>
          <w:numId w:val="11"/>
        </w:numPr>
        <w:spacing w:after="160" w:line="259" w:lineRule="auto"/>
        <w:rPr>
          <w:rFonts w:asciiTheme="majorHAnsi" w:hAnsiTheme="majorHAnsi" w:cstheme="majorHAnsi"/>
        </w:rPr>
      </w:pPr>
      <w:r w:rsidRPr="009A02FC">
        <w:rPr>
          <w:rFonts w:asciiTheme="majorHAnsi" w:hAnsiTheme="majorHAnsi" w:cstheme="majorHAnsi"/>
        </w:rPr>
        <w:t>Affidavit stating the following:</w:t>
      </w:r>
    </w:p>
    <w:p w14:paraId="2864ECC4"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emergency;</w:t>
      </w:r>
    </w:p>
    <w:p w14:paraId="42DBE0E3"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EOP has been reviewed and approved by the appropriate executives;</w:t>
      </w:r>
    </w:p>
    <w:p w14:paraId="084F3B76"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Drills have been conducted to the extent required by subsection (f) of the rule;</w:t>
      </w:r>
    </w:p>
    <w:p w14:paraId="62A8CCEC"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EOP or an appropriate summary has been distributed to local jurisdictions as needed;</w:t>
      </w:r>
    </w:p>
    <w:p w14:paraId="00CA5646"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entity maintains a business continuity plan that addresses returning to normal operations after disruptions caused by an incident; and</w:t>
      </w:r>
    </w:p>
    <w:p w14:paraId="6D5C7B6A" w14:textId="77777777" w:rsidR="001F0C19" w:rsidRPr="009A02FC" w:rsidRDefault="001F0C19" w:rsidP="001F0C19">
      <w:pPr>
        <w:pStyle w:val="xmsolistparagraph"/>
        <w:numPr>
          <w:ilvl w:val="1"/>
          <w:numId w:val="11"/>
        </w:numPr>
        <w:rPr>
          <w:rFonts w:asciiTheme="majorHAnsi" w:eastAsia="Times New Roman" w:hAnsiTheme="majorHAnsi" w:cstheme="majorHAnsi"/>
        </w:rPr>
      </w:pPr>
      <w:r w:rsidRPr="009A02FC">
        <w:rPr>
          <w:rFonts w:asciiTheme="majorHAnsi" w:eastAsia="Times New Roman" w:hAnsiTheme="majorHAnsi" w:cstheme="majorHAnsi"/>
        </w:rP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0FF7965C" w14:textId="77777777" w:rsidR="001F0C19" w:rsidRPr="009A02FC" w:rsidRDefault="001F0C19" w:rsidP="001F0C19">
      <w:pPr>
        <w:pStyle w:val="xmsolistparagraph"/>
        <w:numPr>
          <w:ilvl w:val="0"/>
          <w:numId w:val="11"/>
        </w:numPr>
        <w:ind w:right="120"/>
        <w:rPr>
          <w:rFonts w:asciiTheme="majorHAnsi" w:hAnsiTheme="majorHAnsi" w:cstheme="majorHAnsi"/>
        </w:rPr>
      </w:pPr>
      <w:r w:rsidRPr="009A02FC">
        <w:rPr>
          <w:rFonts w:asciiTheme="majorHAnsi" w:hAnsiTheme="majorHAnsi" w:cstheme="majorHAnsi"/>
          <w:b/>
          <w:bCs/>
        </w:rPr>
        <w:t xml:space="preserve">Annexes to be included in the EOP - </w:t>
      </w:r>
      <w:r w:rsidRPr="009A02FC">
        <w:rPr>
          <w:rFonts w:asciiTheme="majorHAnsi" w:hAnsiTheme="majorHAnsi" w:cstheme="majorHAnsi"/>
        </w:rPr>
        <w:t>A Generation resource/PGC must include</w:t>
      </w:r>
    </w:p>
    <w:p w14:paraId="28500863" w14:textId="77777777" w:rsidR="001F0C19" w:rsidRPr="009A02FC" w:rsidRDefault="001F0C19" w:rsidP="001F0C19">
      <w:pPr>
        <w:pStyle w:val="xmsolistparagraph"/>
        <w:numPr>
          <w:ilvl w:val="1"/>
          <w:numId w:val="12"/>
        </w:numPr>
        <w:rPr>
          <w:rFonts w:asciiTheme="majorHAnsi" w:eastAsia="Times New Roman" w:hAnsiTheme="majorHAnsi" w:cstheme="majorHAnsi"/>
        </w:rPr>
      </w:pPr>
      <w:r w:rsidRPr="009A02FC">
        <w:rPr>
          <w:rFonts w:asciiTheme="majorHAnsi" w:eastAsia="Times New Roman" w:hAnsiTheme="majorHAnsi" w:cstheme="majorHAnsi"/>
        </w:rPr>
        <w:t xml:space="preserve">A weather emergency annex that includes </w:t>
      </w:r>
    </w:p>
    <w:p w14:paraId="215E83F3"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Operational plan for responding to a cold and hot weather emergency, distinct from the weather preparations required under § 25.55</w:t>
      </w:r>
    </w:p>
    <w:p w14:paraId="41F8CDC8" w14:textId="348B8360" w:rsidR="001F0C19" w:rsidRPr="009A02FC" w:rsidRDefault="001F0C19" w:rsidP="001F0C19">
      <w:pPr>
        <w:pStyle w:val="xmsolistparagraph"/>
        <w:numPr>
          <w:ilvl w:val="4"/>
          <w:numId w:val="13"/>
        </w:numPr>
        <w:rPr>
          <w:rFonts w:asciiTheme="majorHAnsi" w:eastAsia="Times New Roman" w:hAnsiTheme="majorHAnsi" w:cstheme="majorHAnsi"/>
        </w:rPr>
      </w:pPr>
      <w:r>
        <w:rPr>
          <w:rFonts w:asciiTheme="majorHAnsi" w:eastAsia="Times New Roman" w:hAnsiTheme="majorHAnsi" w:cstheme="majorHAnsi"/>
        </w:rPr>
        <w:t xml:space="preserve">EOP-001, page 7 and Annex </w:t>
      </w:r>
      <w:r w:rsidR="000963A2">
        <w:rPr>
          <w:rFonts w:asciiTheme="majorHAnsi" w:eastAsia="Times New Roman" w:hAnsiTheme="majorHAnsi" w:cstheme="majorHAnsi"/>
        </w:rPr>
        <w:t>Q</w:t>
      </w:r>
    </w:p>
    <w:p w14:paraId="00FB3698"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Verification of the adequacy and operability of fuel switching equipment, if installed; and</w:t>
      </w:r>
    </w:p>
    <w:p w14:paraId="406A1CE4" w14:textId="77777777" w:rsidR="001F0C19" w:rsidRPr="006E6C19" w:rsidRDefault="001F0C19" w:rsidP="001F0C19">
      <w:pPr>
        <w:pStyle w:val="xmsolistparagraph"/>
        <w:numPr>
          <w:ilvl w:val="4"/>
          <w:numId w:val="13"/>
        </w:numPr>
        <w:rPr>
          <w:rFonts w:asciiTheme="majorHAnsi" w:eastAsia="Times New Roman" w:hAnsiTheme="majorHAnsi" w:cstheme="majorHAnsi"/>
        </w:rPr>
      </w:pPr>
      <w:r w:rsidRPr="006E6C19">
        <w:rPr>
          <w:rFonts w:asciiTheme="majorHAnsi" w:eastAsia="Times New Roman" w:hAnsiTheme="majorHAnsi" w:cstheme="majorHAnsi"/>
        </w:rPr>
        <w:t>EOP-001, page 9. It is not applicable to this site.</w:t>
      </w:r>
    </w:p>
    <w:p w14:paraId="41E32F18" w14:textId="77777777" w:rsidR="001F0C19" w:rsidRDefault="001F0C19" w:rsidP="001F0C19">
      <w:pPr>
        <w:pStyle w:val="xmsolistparagraph"/>
        <w:numPr>
          <w:ilvl w:val="3"/>
          <w:numId w:val="13"/>
        </w:numPr>
        <w:rPr>
          <w:rFonts w:asciiTheme="majorHAnsi" w:eastAsia="Times New Roman" w:hAnsiTheme="majorHAnsi" w:cstheme="majorHAnsi"/>
        </w:rPr>
      </w:pPr>
      <w:r w:rsidRPr="009A02FC">
        <w:rPr>
          <w:rFonts w:asciiTheme="majorHAnsi" w:eastAsia="Times New Roman" w:hAnsiTheme="majorHAnsi" w:cstheme="majorHAnsi"/>
        </w:rPr>
        <w:t>A checklist for generation resource personnel to use during a cold or hot weather emergency response that includes lessons learned from past weather emergencies to ensure necessary supplies and personnel are available through the weather emergency</w:t>
      </w:r>
    </w:p>
    <w:p w14:paraId="43928FF9" w14:textId="77777777" w:rsidR="001F0C19" w:rsidRPr="006E6C19" w:rsidRDefault="001F0C19" w:rsidP="001F0C19">
      <w:pPr>
        <w:pStyle w:val="xmsolistparagraph"/>
        <w:numPr>
          <w:ilvl w:val="4"/>
          <w:numId w:val="13"/>
        </w:numPr>
        <w:rPr>
          <w:rFonts w:asciiTheme="majorHAnsi" w:eastAsia="Times New Roman" w:hAnsiTheme="majorHAnsi" w:cstheme="majorHAnsi"/>
        </w:rPr>
      </w:pPr>
      <w:r w:rsidRPr="006E6C19">
        <w:rPr>
          <w:rFonts w:asciiTheme="majorHAnsi" w:eastAsia="Times New Roman" w:hAnsiTheme="majorHAnsi" w:cstheme="majorHAnsi"/>
        </w:rPr>
        <w:t>Annex D</w:t>
      </w:r>
    </w:p>
    <w:p w14:paraId="68AA1EA5"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lastRenderedPageBreak/>
        <w:t>A water shortage annex that addresses supply shortages of water used in the generation of electricity;</w:t>
      </w:r>
    </w:p>
    <w:p w14:paraId="61667BF4" w14:textId="77777777" w:rsidR="001F0C19" w:rsidRPr="006E6C19" w:rsidRDefault="001F0C19" w:rsidP="001F0C19">
      <w:pPr>
        <w:pStyle w:val="xmsolistparagraph"/>
        <w:numPr>
          <w:ilvl w:val="2"/>
          <w:numId w:val="14"/>
        </w:numPr>
        <w:rPr>
          <w:rFonts w:asciiTheme="majorHAnsi" w:eastAsia="Times New Roman" w:hAnsiTheme="majorHAnsi" w:cstheme="majorHAnsi"/>
        </w:rPr>
      </w:pPr>
      <w:r w:rsidRPr="006E6C19">
        <w:rPr>
          <w:rFonts w:asciiTheme="majorHAnsi" w:eastAsia="Times New Roman" w:hAnsiTheme="majorHAnsi" w:cstheme="majorHAnsi"/>
        </w:rPr>
        <w:t>EOP-001, page 8. This is not applicable to this site.</w:t>
      </w:r>
    </w:p>
    <w:p w14:paraId="33AE1B94"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restoration of service annex that identifies plans intended to restore to service a generation resource that failed to start or that tripped offline due to a hazard or threat;</w:t>
      </w:r>
    </w:p>
    <w:p w14:paraId="3964D1BC" w14:textId="77777777"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E</w:t>
      </w:r>
    </w:p>
    <w:p w14:paraId="6BCEF262"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pandemic and epidemic annex;</w:t>
      </w:r>
    </w:p>
    <w:p w14:paraId="7D3598AD" w14:textId="77777777"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F</w:t>
      </w:r>
    </w:p>
    <w:p w14:paraId="0C2F2773"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hurricane annex that include evacuation and re-entry procedures if facilities are located within a hurricane evacuation zone, as defined by TDEM;</w:t>
      </w:r>
    </w:p>
    <w:p w14:paraId="08093156" w14:textId="77777777"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L</w:t>
      </w:r>
    </w:p>
    <w:p w14:paraId="63B65973"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cyber security annex;</w:t>
      </w:r>
    </w:p>
    <w:p w14:paraId="65928D3B" w14:textId="6DD75BC2"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 xml:space="preserve">Annex </w:t>
      </w:r>
      <w:r w:rsidR="00662B37">
        <w:rPr>
          <w:rFonts w:asciiTheme="majorHAnsi" w:eastAsia="Times New Roman" w:hAnsiTheme="majorHAnsi" w:cstheme="majorHAnsi"/>
        </w:rPr>
        <w:t>J</w:t>
      </w:r>
    </w:p>
    <w:p w14:paraId="42410552" w14:textId="77777777" w:rsidR="001F0C19"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 physical security incident annex; and</w:t>
      </w:r>
    </w:p>
    <w:p w14:paraId="5376026A" w14:textId="34D6D00C" w:rsidR="001F0C19" w:rsidRPr="009A02FC" w:rsidRDefault="001F0C19" w:rsidP="001F0C19">
      <w:pPr>
        <w:pStyle w:val="xmsolistparagraph"/>
        <w:numPr>
          <w:ilvl w:val="2"/>
          <w:numId w:val="14"/>
        </w:numPr>
        <w:rPr>
          <w:rFonts w:asciiTheme="majorHAnsi" w:eastAsia="Times New Roman" w:hAnsiTheme="majorHAnsi" w:cstheme="majorHAnsi"/>
        </w:rPr>
      </w:pPr>
      <w:r>
        <w:rPr>
          <w:rFonts w:asciiTheme="majorHAnsi" w:eastAsia="Times New Roman" w:hAnsiTheme="majorHAnsi" w:cstheme="majorHAnsi"/>
        </w:rPr>
        <w:t>Annex G</w:t>
      </w:r>
      <w:r w:rsidR="00662B37">
        <w:rPr>
          <w:rFonts w:asciiTheme="majorHAnsi" w:eastAsia="Times New Roman" w:hAnsiTheme="majorHAnsi" w:cstheme="majorHAnsi"/>
        </w:rPr>
        <w:t xml:space="preserve"> (1-3)</w:t>
      </w:r>
    </w:p>
    <w:p w14:paraId="71477E5D" w14:textId="77777777" w:rsidR="001F0C19" w:rsidRPr="009A02FC" w:rsidRDefault="001F0C19" w:rsidP="001F0C19">
      <w:pPr>
        <w:pStyle w:val="xmsolistparagraph"/>
        <w:numPr>
          <w:ilvl w:val="1"/>
          <w:numId w:val="14"/>
        </w:numPr>
        <w:rPr>
          <w:rFonts w:asciiTheme="majorHAnsi" w:eastAsia="Times New Roman" w:hAnsiTheme="majorHAnsi" w:cstheme="majorHAnsi"/>
        </w:rPr>
      </w:pPr>
      <w:r w:rsidRPr="009A02FC">
        <w:rPr>
          <w:rFonts w:asciiTheme="majorHAnsi" w:eastAsia="Times New Roman" w:hAnsiTheme="majorHAnsi" w:cstheme="majorHAnsi"/>
        </w:rPr>
        <w:t>Any additional annexes as needed or appropriate to the entity’s particular circumstances</w:t>
      </w:r>
    </w:p>
    <w:p w14:paraId="5EC7982A" w14:textId="77777777" w:rsidR="001F0C19" w:rsidRDefault="001F0C19" w:rsidP="001F0C19">
      <w:pPr>
        <w:pStyle w:val="ListParagraph"/>
        <w:numPr>
          <w:ilvl w:val="0"/>
          <w:numId w:val="11"/>
        </w:numPr>
        <w:spacing w:after="160" w:line="259" w:lineRule="auto"/>
        <w:rPr>
          <w:rFonts w:asciiTheme="majorHAnsi" w:hAnsiTheme="majorHAnsi" w:cstheme="majorHAnsi"/>
        </w:rPr>
      </w:pPr>
      <w:r w:rsidRPr="009A02FC">
        <w:rPr>
          <w:rFonts w:asciiTheme="majorHAnsi" w:hAnsiTheme="majorHAnsi" w:cstheme="majorHAnsi"/>
        </w:rPr>
        <w:t>Drills</w:t>
      </w:r>
    </w:p>
    <w:p w14:paraId="2A257021" w14:textId="77777777" w:rsidR="001F0C19" w:rsidRDefault="001F0C19" w:rsidP="001F0C19">
      <w:pPr>
        <w:pStyle w:val="ListParagraph"/>
        <w:numPr>
          <w:ilvl w:val="1"/>
          <w:numId w:val="11"/>
        </w:numPr>
        <w:spacing w:after="160" w:line="259" w:lineRule="auto"/>
        <w:rPr>
          <w:rFonts w:asciiTheme="majorHAnsi" w:hAnsiTheme="majorHAnsi" w:cstheme="majorHAnsi"/>
        </w:rPr>
      </w:pPr>
      <w:r>
        <w:rPr>
          <w:rFonts w:asciiTheme="majorHAnsi" w:hAnsiTheme="majorHAnsi" w:cstheme="majorHAnsi"/>
        </w:rPr>
        <w:t>Annex B</w:t>
      </w:r>
    </w:p>
    <w:p w14:paraId="794B78E7" w14:textId="14352871" w:rsidR="001F0C19" w:rsidRPr="009A02FC" w:rsidRDefault="001F0C19" w:rsidP="001F0C19">
      <w:pPr>
        <w:rPr>
          <w:rFonts w:asciiTheme="majorHAnsi" w:hAnsiTheme="majorHAnsi" w:cstheme="majorHAnsi"/>
        </w:rPr>
      </w:pPr>
      <w:r>
        <w:rPr>
          <w:rFonts w:asciiTheme="majorHAnsi" w:hAnsiTheme="majorHAnsi" w:cstheme="majorHAnsi"/>
        </w:rPr>
        <w:t xml:space="preserve">As a registered PGC, it is </w:t>
      </w:r>
      <w:r>
        <w:rPr>
          <w:rFonts w:asciiTheme="majorHAnsi" w:hAnsiTheme="majorHAnsi" w:cstheme="majorHAnsi"/>
        </w:rPr>
        <w:t>Elawan Energy</w:t>
      </w:r>
      <w:r>
        <w:rPr>
          <w:rFonts w:asciiTheme="majorHAnsi" w:hAnsiTheme="majorHAnsi" w:cstheme="majorHAnsi"/>
        </w:rPr>
        <w:t>’s intent to fully comply with all requirements and expectations of the Public Utilities Commission of Texas.</w:t>
      </w:r>
    </w:p>
    <w:p w14:paraId="52EBEBCF" w14:textId="287FC574" w:rsidR="006A18C4" w:rsidRDefault="006A18C4"/>
    <w:sectPr w:rsidR="006A18C4" w:rsidSect="00525943">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F7DF0" w14:textId="77777777" w:rsidR="001033A4" w:rsidRDefault="001033A4" w:rsidP="006A18C4">
      <w:pPr>
        <w:spacing w:after="0" w:line="240" w:lineRule="auto"/>
      </w:pPr>
      <w:r>
        <w:separator/>
      </w:r>
    </w:p>
  </w:endnote>
  <w:endnote w:type="continuationSeparator" w:id="0">
    <w:p w14:paraId="23C3C286" w14:textId="77777777" w:rsidR="001033A4" w:rsidRDefault="001033A4"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C38E" w14:textId="77777777" w:rsidR="001033A4" w:rsidRDefault="001033A4" w:rsidP="006A18C4">
      <w:pPr>
        <w:spacing w:after="0" w:line="240" w:lineRule="auto"/>
      </w:pPr>
      <w:r>
        <w:separator/>
      </w:r>
    </w:p>
  </w:footnote>
  <w:footnote w:type="continuationSeparator" w:id="0">
    <w:p w14:paraId="7F43809E" w14:textId="77777777" w:rsidR="001033A4" w:rsidRDefault="001033A4"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7BC094B1" w:rsidR="006A18C4" w:rsidRDefault="006A18C4" w:rsidP="006A18C4">
    <w:pPr>
      <w:pStyle w:val="Header"/>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00FA7871">
      <w:rPr>
        <w:color w:val="2F5496" w:themeColor="accent1" w:themeShade="BF"/>
      </w:rPr>
      <w:t>Executive Summary</w:t>
    </w:r>
    <w:r w:rsidR="00041B41">
      <w:rPr>
        <w:color w:val="2F5496" w:themeColor="accent1" w:themeShade="BF"/>
      </w:rPr>
      <w:t>-</w:t>
    </w:r>
    <w:r w:rsidRPr="00525943">
      <w:rPr>
        <w:color w:val="2F5496" w:themeColor="accent1" w:themeShade="BF"/>
      </w:rPr>
      <w:t>EE-</w:t>
    </w:r>
    <w:r w:rsidR="00041B41">
      <w:rPr>
        <w:color w:val="2F5496" w:themeColor="accent1" w:themeShade="BF"/>
      </w:rPr>
      <w:t>EOP</w:t>
    </w:r>
    <w:r w:rsidRPr="00525943">
      <w:rPr>
        <w:color w:val="2F5496" w:themeColor="accent1" w:themeShade="BF"/>
      </w:rPr>
      <w: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8170C05"/>
    <w:multiLevelType w:val="multilevel"/>
    <w:tmpl w:val="90906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A7EF7"/>
    <w:multiLevelType w:val="multilevel"/>
    <w:tmpl w:val="470C0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3A35C0"/>
    <w:multiLevelType w:val="hybridMultilevel"/>
    <w:tmpl w:val="9FFC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972FD"/>
    <w:multiLevelType w:val="multilevel"/>
    <w:tmpl w:val="32AEA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858693">
    <w:abstractNumId w:val="2"/>
  </w:num>
  <w:num w:numId="2" w16cid:durableId="1668091235">
    <w:abstractNumId w:val="8"/>
  </w:num>
  <w:num w:numId="3" w16cid:durableId="1863736537">
    <w:abstractNumId w:val="4"/>
  </w:num>
  <w:num w:numId="4" w16cid:durableId="748189646">
    <w:abstractNumId w:val="7"/>
  </w:num>
  <w:num w:numId="5" w16cid:durableId="89356793">
    <w:abstractNumId w:val="6"/>
  </w:num>
  <w:num w:numId="6" w16cid:durableId="905528652">
    <w:abstractNumId w:val="3"/>
  </w:num>
  <w:num w:numId="7" w16cid:durableId="1015350">
    <w:abstractNumId w:val="13"/>
  </w:num>
  <w:num w:numId="8" w16cid:durableId="404686286">
    <w:abstractNumId w:val="5"/>
  </w:num>
  <w:num w:numId="9" w16cid:durableId="1690595140">
    <w:abstractNumId w:val="0"/>
  </w:num>
  <w:num w:numId="10" w16cid:durableId="1143935328">
    <w:abstractNumId w:val="12"/>
  </w:num>
  <w:num w:numId="11" w16cid:durableId="985623590">
    <w:abstractNumId w:val="10"/>
  </w:num>
  <w:num w:numId="12" w16cid:durableId="1086078895">
    <w:abstractNumId w:val="9"/>
  </w:num>
  <w:num w:numId="13" w16cid:durableId="1796023835">
    <w:abstractNumId w:val="11"/>
  </w:num>
  <w:num w:numId="14" w16cid:durableId="89860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230D3"/>
    <w:rsid w:val="00041B41"/>
    <w:rsid w:val="000963A2"/>
    <w:rsid w:val="000E5EDB"/>
    <w:rsid w:val="000E6A72"/>
    <w:rsid w:val="001033A4"/>
    <w:rsid w:val="00125A92"/>
    <w:rsid w:val="001F0C19"/>
    <w:rsid w:val="00422E4A"/>
    <w:rsid w:val="00525943"/>
    <w:rsid w:val="005D718C"/>
    <w:rsid w:val="00662B37"/>
    <w:rsid w:val="006A18C4"/>
    <w:rsid w:val="007677FA"/>
    <w:rsid w:val="0082498B"/>
    <w:rsid w:val="0094302A"/>
    <w:rsid w:val="00B4706E"/>
    <w:rsid w:val="00B47C6D"/>
    <w:rsid w:val="00D26899"/>
    <w:rsid w:val="00D57304"/>
    <w:rsid w:val="00D76BC0"/>
    <w:rsid w:val="00F26900"/>
    <w:rsid w:val="00FA7871"/>
    <w:rsid w:val="00FB1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 w:type="paragraph" w:customStyle="1" w:styleId="xmsolistparagraph">
    <w:name w:val="x_msolistparagraph"/>
    <w:basedOn w:val="Normal"/>
    <w:rsid w:val="001F0C19"/>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6</cp:revision>
  <dcterms:created xsi:type="dcterms:W3CDTF">2022-04-14T14:38:00Z</dcterms:created>
  <dcterms:modified xsi:type="dcterms:W3CDTF">2022-04-14T14:41:00Z</dcterms:modified>
</cp:coreProperties>
</file>